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2A" w:rsidRDefault="00CF232A" w:rsidP="00B63AD8">
      <w:pPr>
        <w:spacing w:line="560" w:lineRule="exact"/>
        <w:ind w:left="-142" w:right="-54"/>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附件4</w:t>
      </w:r>
    </w:p>
    <w:p w:rsidR="00CF232A" w:rsidRPr="00CF232A" w:rsidRDefault="00CF232A" w:rsidP="00B63AD8">
      <w:pPr>
        <w:spacing w:line="560" w:lineRule="exact"/>
        <w:ind w:left="-142" w:right="-54"/>
        <w:rPr>
          <w:rFonts w:ascii="仿宋" w:eastAsia="仿宋" w:hAnsi="仿宋"/>
          <w:color w:val="0F0F0F"/>
          <w:spacing w:val="1"/>
          <w:w w:val="95"/>
          <w:sz w:val="30"/>
          <w:szCs w:val="30"/>
          <w:lang w:eastAsia="zh-CN"/>
        </w:rPr>
      </w:pPr>
    </w:p>
    <w:p w:rsidR="00CF232A" w:rsidRDefault="00CF232A" w:rsidP="00B63AD8">
      <w:pPr>
        <w:spacing w:line="560" w:lineRule="exact"/>
        <w:ind w:left="-142" w:right="-54"/>
        <w:jc w:val="center"/>
        <w:rPr>
          <w:rFonts w:ascii="黑体" w:eastAsia="黑体" w:hAnsi="黑体"/>
          <w:color w:val="0F0F0F"/>
          <w:spacing w:val="1"/>
          <w:w w:val="95"/>
          <w:sz w:val="44"/>
          <w:szCs w:val="44"/>
          <w:lang w:eastAsia="zh-CN"/>
        </w:rPr>
      </w:pPr>
      <w:r w:rsidRPr="00CF232A">
        <w:rPr>
          <w:rFonts w:ascii="黑体" w:eastAsia="黑体" w:hAnsi="黑体"/>
          <w:color w:val="0F0F0F"/>
          <w:spacing w:val="1"/>
          <w:w w:val="95"/>
          <w:sz w:val="44"/>
          <w:szCs w:val="44"/>
          <w:lang w:eastAsia="zh-CN"/>
        </w:rPr>
        <w:t>防范非法集资宣传教育相关资料</w:t>
      </w:r>
    </w:p>
    <w:p w:rsidR="00E40675" w:rsidRPr="00E40675" w:rsidRDefault="00E40675" w:rsidP="00B63AD8">
      <w:pPr>
        <w:spacing w:line="560" w:lineRule="exact"/>
        <w:ind w:left="-142" w:right="-54"/>
        <w:jc w:val="center"/>
        <w:rPr>
          <w:rFonts w:ascii="黑体" w:eastAsia="黑体" w:hAnsi="黑体"/>
          <w:color w:val="0F0F0F"/>
          <w:spacing w:val="1"/>
          <w:w w:val="95"/>
          <w:sz w:val="44"/>
          <w:szCs w:val="44"/>
          <w:lang w:eastAsia="zh-CN"/>
        </w:rPr>
      </w:pPr>
    </w:p>
    <w:p w:rsidR="00CF232A" w:rsidRPr="0026781A" w:rsidRDefault="00CF232A" w:rsidP="00B63AD8">
      <w:pPr>
        <w:spacing w:line="560" w:lineRule="exact"/>
        <w:ind w:left="-142" w:right="-54"/>
        <w:rPr>
          <w:rFonts w:ascii="黑体" w:eastAsia="黑体" w:hAnsi="黑体"/>
          <w:color w:val="0F0F0F"/>
          <w:spacing w:val="1"/>
          <w:w w:val="95"/>
          <w:sz w:val="32"/>
          <w:szCs w:val="32"/>
          <w:lang w:eastAsia="zh-CN"/>
        </w:rPr>
      </w:pPr>
      <w:r w:rsidRPr="0026781A">
        <w:rPr>
          <w:rFonts w:ascii="黑体" w:eastAsia="黑体" w:hAnsi="黑体"/>
          <w:color w:val="0F0F0F"/>
          <w:spacing w:val="1"/>
          <w:w w:val="95"/>
          <w:sz w:val="32"/>
          <w:szCs w:val="32"/>
          <w:lang w:eastAsia="zh-CN"/>
        </w:rPr>
        <w:t>一、基本概念介绍</w:t>
      </w:r>
    </w:p>
    <w:p w:rsidR="00CF232A" w:rsidRPr="00CF232A" w:rsidRDefault="00CF232A" w:rsidP="00B63AD8">
      <w:pPr>
        <w:spacing w:line="560" w:lineRule="exact"/>
        <w:ind w:leftChars="-65" w:left="-143"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（一）非法集资的定义和基本特征</w:t>
      </w:r>
    </w:p>
    <w:p w:rsidR="00CF232A" w:rsidRPr="00CF232A" w:rsidRDefault="00CF232A" w:rsidP="00B63AD8">
      <w:pPr>
        <w:spacing w:line="560" w:lineRule="exact"/>
        <w:ind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根据《防范和处置非法集资条例》，非法集资是指未经国务院金融管理部门依法许可或者违反国家金融管理规定，以许诺还本付息或者给予其他投资回报等方式，向不特定对象吸收资金的行为。</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非法集资行为需同时具备三要件：一是“未经国务院金融管理部门依法许可或者违反国家金融管理规定”</w:t>
      </w:r>
      <w:r w:rsidR="00E40675">
        <w:rPr>
          <w:rFonts w:ascii="仿宋" w:eastAsia="仿宋" w:hAnsi="仿宋"/>
          <w:color w:val="0F0F0F"/>
          <w:spacing w:val="1"/>
          <w:w w:val="95"/>
          <w:sz w:val="30"/>
          <w:szCs w:val="30"/>
          <w:lang w:eastAsia="zh-CN"/>
        </w:rPr>
        <w:t>，即非法性；二是</w:t>
      </w:r>
      <w:r w:rsidR="00E40675">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许诺还本付息或者给予其他投资回报”，即利诱性；三是“向不特定对象吸收资金”，即社会性。</w:t>
      </w:r>
    </w:p>
    <w:p w:rsidR="00CF232A" w:rsidRPr="00CF232A" w:rsidRDefault="00CF232A" w:rsidP="00B63AD8">
      <w:pPr>
        <w:spacing w:line="560" w:lineRule="exact"/>
        <w:ind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非法性：“未经国务院金融管理部门依法许可或者违反国家金融管理规定”，国务院金融管理部门为“一行两会一局</w:t>
      </w:r>
      <w:r w:rsidR="00E40675">
        <w:rPr>
          <w:rFonts w:ascii="仿宋" w:eastAsia="仿宋" w:hAnsi="仿宋" w:hint="eastAsia"/>
          <w:color w:val="0F0F0F"/>
          <w:spacing w:val="1"/>
          <w:w w:val="95"/>
          <w:sz w:val="30"/>
          <w:szCs w:val="30"/>
          <w:lang w:eastAsia="zh-CN"/>
        </w:rPr>
        <w:t>”</w:t>
      </w:r>
      <w:r w:rsidR="00E40675">
        <w:rPr>
          <w:rFonts w:ascii="仿宋" w:eastAsia="仿宋" w:hAnsi="仿宋"/>
          <w:color w:val="0F0F0F"/>
          <w:spacing w:val="1"/>
          <w:w w:val="95"/>
          <w:sz w:val="30"/>
          <w:szCs w:val="30"/>
          <w:lang w:eastAsia="zh-CN"/>
        </w:rPr>
        <w:t>(</w:t>
      </w:r>
      <w:r w:rsidR="00E40675">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一行”是中国人民银行，“两会”是中国银保监会、中国证监会，“一局”是外汇管理局）。根据现行法律法规，凡是向不特定对象吸收资金的行为（如吸收存款、公开发行证券、公开募集基金、销售保险等），都需经国务院金融管理部门依法许可。</w:t>
      </w:r>
    </w:p>
    <w:p w:rsidR="00CF232A" w:rsidRPr="00CF232A" w:rsidRDefault="00A20B70" w:rsidP="00B63AD8">
      <w:pPr>
        <w:spacing w:line="560" w:lineRule="exact"/>
        <w:ind w:right="-54" w:firstLineChars="199" w:firstLine="564"/>
        <w:rPr>
          <w:rFonts w:ascii="仿宋" w:eastAsia="仿宋" w:hAnsi="仿宋"/>
          <w:color w:val="0F0F0F"/>
          <w:spacing w:val="1"/>
          <w:w w:val="95"/>
          <w:sz w:val="30"/>
          <w:szCs w:val="30"/>
          <w:lang w:eastAsia="zh-CN"/>
        </w:rPr>
      </w:pPr>
      <w:r w:rsidRPr="00A20B70">
        <w:rPr>
          <w:rFonts w:ascii="仿宋" w:eastAsia="仿宋" w:hAnsi="仿宋"/>
          <w:color w:val="0F0F0F"/>
          <w:spacing w:val="1"/>
          <w:w w:val="95"/>
          <w:sz w:val="30"/>
          <w:szCs w:val="30"/>
          <w:lang w:eastAsia="zh-CN"/>
        </w:rPr>
        <w:pict>
          <v:shapetype id="_x0000_t202" coordsize="21600,21600" o:spt="202" path="m,l,21600r21600,l21600,xe">
            <v:stroke joinstyle="miter"/>
            <v:path gradientshapeok="t" o:connecttype="rect"/>
          </v:shapetype>
          <v:shape id="_x0000_s2050" type="#_x0000_t202" style="position:absolute;left:0;text-align:left;margin-left:306.2pt;margin-top:62.5pt;width:6.8pt;height:11.55pt;z-index:251660288;mso-position-horizontal-relative:page" filled="f" stroked="f">
            <v:textbox style="layout-flow:vertical-ideographic" inset="0,0,0,0">
              <w:txbxContent>
                <w:p w:rsidR="00CF232A" w:rsidRDefault="00CF232A" w:rsidP="00CF232A">
                  <w:pPr>
                    <w:spacing w:line="120" w:lineRule="auto"/>
                    <w:ind w:left="20"/>
                    <w:rPr>
                      <w:sz w:val="19"/>
                    </w:rPr>
                  </w:pPr>
                  <w:r>
                    <w:rPr>
                      <w:color w:val="262A2D"/>
                      <w:sz w:val="19"/>
                    </w:rPr>
                    <w:t>1</w:t>
                  </w:r>
                </w:p>
              </w:txbxContent>
            </v:textbox>
            <w10:wrap anchorx="page"/>
          </v:shape>
        </w:pict>
      </w:r>
      <w:r w:rsidR="00CF232A" w:rsidRPr="00CF232A">
        <w:rPr>
          <w:rFonts w:ascii="仿宋" w:eastAsia="仿宋" w:hAnsi="仿宋"/>
          <w:color w:val="0F0F0F"/>
          <w:spacing w:val="1"/>
          <w:w w:val="95"/>
          <w:sz w:val="30"/>
          <w:szCs w:val="30"/>
          <w:lang w:eastAsia="zh-CN"/>
        </w:rPr>
        <w:t>利诱性：非法集资一般都许诺还本付息。正规金融机构的理财产品均不承诺保本保收益。</w:t>
      </w:r>
    </w:p>
    <w:p w:rsidR="00CF232A" w:rsidRPr="00CF232A" w:rsidRDefault="00CF232A" w:rsidP="00B63AD8">
      <w:pPr>
        <w:spacing w:line="560" w:lineRule="exact"/>
        <w:ind w:left="-142" w:right="-54"/>
        <w:rPr>
          <w:rFonts w:ascii="仿宋" w:eastAsia="仿宋" w:hAnsi="仿宋"/>
          <w:color w:val="0F0F0F"/>
          <w:spacing w:val="1"/>
          <w:w w:val="95"/>
          <w:sz w:val="30"/>
          <w:szCs w:val="30"/>
          <w:lang w:eastAsia="zh-CN"/>
        </w:rPr>
        <w:sectPr w:rsidR="00CF232A" w:rsidRPr="00CF232A" w:rsidSect="00B63AD8">
          <w:pgSz w:w="11910" w:h="16850"/>
          <w:pgMar w:top="1701" w:right="1418" w:bottom="1418" w:left="1474" w:header="720" w:footer="720" w:gutter="0"/>
          <w:cols w:space="720"/>
          <w:docGrid w:linePitch="299"/>
        </w:sectPr>
      </w:pPr>
    </w:p>
    <w:p w:rsidR="00CF232A" w:rsidRDefault="00CF232A" w:rsidP="00B63AD8">
      <w:pPr>
        <w:spacing w:line="560" w:lineRule="exact"/>
        <w:ind w:right="-54" w:firstLineChars="197" w:firstLine="563"/>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lastRenderedPageBreak/>
        <w:t>社会性：“向不特定对象吸收资金”。“不特定对象”即社会公众。</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（二）非法集资人的法律责任</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非法集资在《刑法》中涉及的主要是第176条非法吸收公众存款罪和第192条集资诈骗罪。</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刑法》176条规定，非法吸收公众存款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单位犯前款罪的，对单位判处罚金，并对其直接负责的主管人员和其他责任人员，依照前款的规定处罚。</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有前两款行为，在提起公诉前积极退赃退赔，减少损害结果发生的，可以从轻或者减轻处罚。</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刑法》192条规定，以非法占有为目的，使用诈骗方法非法集资，数额较大的，处三年以上七年以下有期徒刑，并处罚金；数额巨大或者有其他严重情节的，处七年以上有期徒刑或者无期徒刑，并处罚金或者没收财产。</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单位犯前款罪的，对单位判处罚金，并对其直接负责的主管人员和其他直接责任人员，依照前款的规定处罚。</w:t>
      </w:r>
    </w:p>
    <w:p w:rsidR="00CF232A" w:rsidRPr="00CF232A" w:rsidRDefault="00A20B70" w:rsidP="00B63AD8">
      <w:pPr>
        <w:spacing w:line="560" w:lineRule="exact"/>
        <w:ind w:right="-54"/>
        <w:rPr>
          <w:rFonts w:ascii="仿宋" w:eastAsia="仿宋" w:hAnsi="仿宋"/>
          <w:color w:val="0F0F0F"/>
          <w:spacing w:val="1"/>
          <w:w w:val="95"/>
          <w:sz w:val="30"/>
          <w:szCs w:val="30"/>
          <w:lang w:eastAsia="zh-CN"/>
        </w:rPr>
      </w:pPr>
      <w:r w:rsidRPr="00A20B70">
        <w:rPr>
          <w:rFonts w:ascii="仿宋" w:eastAsia="仿宋" w:hAnsi="仿宋"/>
          <w:color w:val="0F0F0F"/>
          <w:spacing w:val="1"/>
          <w:w w:val="95"/>
          <w:sz w:val="30"/>
          <w:szCs w:val="30"/>
          <w:lang w:eastAsia="zh-CN"/>
        </w:rPr>
        <w:pict>
          <v:shape id="_x0000_s2051" type="#_x0000_t202" style="position:absolute;margin-left:311.75pt;margin-top:59.35pt;width:6.8pt;height:11.55pt;z-index:251661312;mso-position-horizontal-relative:page" filled="f" stroked="f">
            <v:textbox style="layout-flow:vertical-ideographic" inset="0,0,0,0">
              <w:txbxContent>
                <w:p w:rsidR="00CF232A" w:rsidRDefault="00CF232A" w:rsidP="00CF232A">
                  <w:pPr>
                    <w:spacing w:line="120" w:lineRule="auto"/>
                    <w:ind w:left="20"/>
                    <w:rPr>
                      <w:sz w:val="19"/>
                    </w:rPr>
                  </w:pPr>
                  <w:r>
                    <w:rPr>
                      <w:color w:val="2F3436"/>
                      <w:sz w:val="19"/>
                    </w:rPr>
                    <w:t>2</w:t>
                  </w:r>
                </w:p>
              </w:txbxContent>
            </v:textbox>
            <w10:wrap anchorx="page"/>
          </v:shape>
        </w:pict>
      </w:r>
      <w:r w:rsidR="00CF232A" w:rsidRPr="00CF232A">
        <w:rPr>
          <w:rFonts w:ascii="仿宋" w:eastAsia="仿宋" w:hAnsi="仿宋"/>
          <w:color w:val="0F0F0F"/>
          <w:spacing w:val="1"/>
          <w:w w:val="95"/>
          <w:sz w:val="30"/>
          <w:szCs w:val="30"/>
          <w:lang w:eastAsia="zh-CN"/>
        </w:rPr>
        <w:t>《防范和处置非法集资条例》也在第四章“</w:t>
      </w:r>
      <w:r w:rsidR="00CF232A">
        <w:rPr>
          <w:rFonts w:ascii="仿宋" w:eastAsia="仿宋" w:hAnsi="仿宋"/>
          <w:color w:val="0F0F0F"/>
          <w:spacing w:val="1"/>
          <w:w w:val="95"/>
          <w:sz w:val="30"/>
          <w:szCs w:val="30"/>
          <w:lang w:eastAsia="zh-CN"/>
        </w:rPr>
        <w:t>法律责任</w:t>
      </w:r>
      <w:r w:rsidR="00CF232A">
        <w:rPr>
          <w:rFonts w:ascii="仿宋" w:eastAsia="仿宋" w:hAnsi="仿宋" w:hint="eastAsia"/>
          <w:color w:val="0F0F0F"/>
          <w:spacing w:val="1"/>
          <w:w w:val="95"/>
          <w:sz w:val="30"/>
          <w:szCs w:val="30"/>
          <w:lang w:eastAsia="zh-CN"/>
        </w:rPr>
        <w:t>”</w:t>
      </w:r>
      <w:r w:rsidR="0026781A">
        <w:rPr>
          <w:rFonts w:ascii="仿宋" w:eastAsia="仿宋" w:hAnsi="仿宋"/>
          <w:color w:val="0F0F0F"/>
          <w:spacing w:val="1"/>
          <w:w w:val="95"/>
          <w:sz w:val="30"/>
          <w:szCs w:val="30"/>
          <w:lang w:eastAsia="zh-CN"/>
        </w:rPr>
        <w:t>中规定了非法集资相关责任主体的法律责</w:t>
      </w:r>
      <w:r w:rsidR="00CF232A" w:rsidRPr="00CF232A">
        <w:rPr>
          <w:rFonts w:ascii="仿宋" w:eastAsia="仿宋" w:hAnsi="仿宋"/>
          <w:color w:val="0F0F0F"/>
          <w:spacing w:val="1"/>
          <w:w w:val="95"/>
          <w:sz w:val="30"/>
          <w:szCs w:val="30"/>
          <w:lang w:eastAsia="zh-CN"/>
        </w:rPr>
        <w:t>任。《条例》第三十条规定：对非法集资人，由处置非法集资牵头部门处集资金额20%以上1倍以下的罚款。非法集资人为单位的，还可以根据情节轻重责令停产停业，由有关机关</w:t>
      </w:r>
      <w:r w:rsidR="00CF232A" w:rsidRPr="00CF232A">
        <w:rPr>
          <w:rFonts w:ascii="仿宋" w:eastAsia="仿宋" w:hAnsi="仿宋"/>
          <w:color w:val="0F0F0F"/>
          <w:spacing w:val="1"/>
          <w:w w:val="95"/>
          <w:sz w:val="30"/>
          <w:szCs w:val="30"/>
          <w:lang w:eastAsia="zh-CN"/>
        </w:rPr>
        <w:lastRenderedPageBreak/>
        <w:t>依法吊销许可证、营业执照或者登记证书；对其法定代表人或者主要负贵人、直接负责的主管人员和其他直接责任人员给予警告，处50万元以上500万元以下的罚款。构成犯罪的，依法追究刑事责任。第三十一条规定，对非法集资协助人，由处置非法集资牵头部门给予警告，处违法所得1倍以上3倍以下的罚</w:t>
      </w:r>
      <w:r w:rsidR="0026781A">
        <w:rPr>
          <w:rFonts w:ascii="仿宋" w:eastAsia="仿宋" w:hAnsi="仿宋"/>
          <w:color w:val="0F0F0F"/>
          <w:spacing w:val="1"/>
          <w:w w:val="95"/>
          <w:sz w:val="30"/>
          <w:szCs w:val="30"/>
          <w:lang w:eastAsia="zh-CN"/>
        </w:rPr>
        <w:t>款</w:t>
      </w:r>
      <w:r w:rsidR="00CF232A" w:rsidRPr="00CF232A">
        <w:rPr>
          <w:rFonts w:ascii="仿宋" w:eastAsia="仿宋" w:hAnsi="仿宋"/>
          <w:color w:val="0F0F0F"/>
          <w:spacing w:val="1"/>
          <w:w w:val="95"/>
          <w:sz w:val="30"/>
          <w:szCs w:val="30"/>
          <w:lang w:eastAsia="zh-CN"/>
        </w:rPr>
        <w:t>；构成犯罪的，依法追究刑事责任。</w:t>
      </w:r>
    </w:p>
    <w:p w:rsidR="00A83FC0"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《条例》第三十二条规定：非法集资人、非法集资协助人不能同时履行所承担的清退集资资金和缴纳罚款义务时，先清退集资资金</w:t>
      </w:r>
      <w:r w:rsidR="00A83FC0">
        <w:rPr>
          <w:rFonts w:ascii="仿宋" w:eastAsia="仿宋" w:hAnsi="仿宋" w:hint="eastAsia"/>
          <w:color w:val="0F0F0F"/>
          <w:spacing w:val="1"/>
          <w:w w:val="95"/>
          <w:sz w:val="30"/>
          <w:szCs w:val="30"/>
          <w:lang w:eastAsia="zh-CN"/>
        </w:rPr>
        <w:t>。</w:t>
      </w:r>
    </w:p>
    <w:p w:rsidR="00A83FC0" w:rsidRPr="0026781A" w:rsidRDefault="00A83FC0" w:rsidP="00B63AD8">
      <w:pPr>
        <w:spacing w:line="560" w:lineRule="exact"/>
        <w:ind w:right="-54"/>
        <w:rPr>
          <w:rFonts w:ascii="黑体" w:eastAsia="黑体" w:hAnsi="黑体"/>
          <w:color w:val="0F0F0F"/>
          <w:spacing w:val="1"/>
          <w:w w:val="95"/>
          <w:sz w:val="32"/>
          <w:szCs w:val="32"/>
          <w:lang w:eastAsia="zh-CN"/>
        </w:rPr>
      </w:pPr>
      <w:r w:rsidRPr="0026781A">
        <w:rPr>
          <w:rFonts w:ascii="黑体" w:eastAsia="黑体" w:hAnsi="黑体"/>
          <w:color w:val="0F0F0F"/>
          <w:spacing w:val="1"/>
          <w:w w:val="95"/>
          <w:sz w:val="32"/>
          <w:szCs w:val="32"/>
          <w:lang w:eastAsia="zh-CN"/>
        </w:rPr>
        <w:t>二、分类化行为介绍</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（一）非法集资主要表现形式</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非法集资活动涉及内容广，表现形式多样，《条例》总结了以下几种形式：</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设立互联网企业、投资及投资咨询类企业、各类交易场所或者平台、农民专业合作社、资金互助组织以及其他组织吸收资金；</w:t>
      </w:r>
    </w:p>
    <w:p w:rsidR="0026781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以发行或者转让股权、债权，募集基金，销售保险产品，或者以从事各类资产管理、虚拟货币、融资租赁业务等名义吸收资金</w:t>
      </w:r>
      <w:r w:rsidR="0026781A">
        <w:rPr>
          <w:rFonts w:ascii="仿宋" w:eastAsia="仿宋" w:hAnsi="仿宋" w:hint="eastAsia"/>
          <w:color w:val="0F0F0F"/>
          <w:spacing w:val="1"/>
          <w:w w:val="95"/>
          <w:sz w:val="30"/>
          <w:szCs w:val="30"/>
          <w:lang w:eastAsia="zh-CN"/>
        </w:rPr>
        <w:t>；</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在销售商品、提供服务、投资项目等商业活动中，以承诺给付货币、股权、实物等回报的形式吸收资金；</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违反法律、行政法规或者国家有关规定，通过大众传播媒介、即时通信工具或者其他方式公开传播吸收资金信息；</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其他涉嫌非法集资的行为。</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（二）四种常见手法</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一是承诺高额回报。不法分子编造“天上掉馅饼”“一夜成富翁</w:t>
      </w:r>
      <w:r w:rsidR="00E40675">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的神话，许诺投资者高额回报。为了骗取更多的人参与集资，非法集资人在集资初期往往按时足额兑现承诺本息，待集资达到一定规模后，</w:t>
      </w:r>
      <w:r w:rsidRPr="00CF232A">
        <w:rPr>
          <w:rFonts w:ascii="仿宋" w:eastAsia="仿宋" w:hAnsi="仿宋"/>
          <w:color w:val="0F0F0F"/>
          <w:spacing w:val="1"/>
          <w:w w:val="95"/>
          <w:sz w:val="30"/>
          <w:szCs w:val="30"/>
          <w:lang w:eastAsia="zh-CN"/>
        </w:rPr>
        <w:lastRenderedPageBreak/>
        <w:t>便秘密转移资金或携款潜逃，使集资参与人遭受经济损失。</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二是编造虚假项目。不法分子大多通过注册合法的公司或企业，打着响应国家产业政策、开展创业创新等幌子，编造各种虚假项目，有的甚至组织免费旅游、考察等，骗取社会公众信任。</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三是以虚假宣传造势。不法分子在宣传上往往一掷千金，聘请明星代言、名人站台，在各大广播电视、网络等媒体发布广告、在著名报刊上刊登</w:t>
      </w:r>
      <w:r w:rsidR="00E40675">
        <w:rPr>
          <w:rFonts w:ascii="仿宋" w:eastAsia="仿宋" w:hAnsi="仿宋"/>
          <w:color w:val="0F0F0F"/>
          <w:spacing w:val="1"/>
          <w:w w:val="95"/>
          <w:sz w:val="30"/>
          <w:szCs w:val="30"/>
          <w:lang w:eastAsia="zh-CN"/>
        </w:rPr>
        <w:t>专访文章、雇人广为散发宣传单、进行社会捐赠等方式，制造虚假声势</w:t>
      </w:r>
      <w:r w:rsidR="00E40675">
        <w:rPr>
          <w:rFonts w:ascii="仿宋" w:eastAsia="仿宋" w:hAnsi="仿宋" w:hint="eastAsia"/>
          <w:color w:val="0F0F0F"/>
          <w:spacing w:val="1"/>
          <w:w w:val="95"/>
          <w:sz w:val="30"/>
          <w:szCs w:val="30"/>
          <w:lang w:eastAsia="zh-CN"/>
        </w:rPr>
        <w:t>。</w:t>
      </w:r>
    </w:p>
    <w:p w:rsidR="00CF232A" w:rsidRPr="00CF232A" w:rsidRDefault="00A20B70" w:rsidP="00B63AD8">
      <w:pPr>
        <w:spacing w:line="560" w:lineRule="exact"/>
        <w:ind w:leftChars="-1" w:left="-2" w:right="-54" w:firstLineChars="199" w:firstLine="564"/>
        <w:rPr>
          <w:rFonts w:ascii="仿宋" w:eastAsia="仿宋" w:hAnsi="仿宋"/>
          <w:color w:val="0F0F0F"/>
          <w:spacing w:val="1"/>
          <w:w w:val="95"/>
          <w:sz w:val="30"/>
          <w:szCs w:val="30"/>
          <w:lang w:eastAsia="zh-CN"/>
        </w:rPr>
      </w:pPr>
      <w:r w:rsidRPr="00A20B70">
        <w:rPr>
          <w:rFonts w:ascii="仿宋" w:eastAsia="仿宋" w:hAnsi="仿宋"/>
          <w:color w:val="0F0F0F"/>
          <w:spacing w:val="1"/>
          <w:w w:val="95"/>
          <w:sz w:val="30"/>
          <w:szCs w:val="30"/>
          <w:lang w:eastAsia="zh-CN"/>
        </w:rPr>
        <w:pict>
          <v:shape id="_x0000_s2053" type="#_x0000_t202" style="position:absolute;left:0;text-align:left;margin-left:308.45pt;margin-top:128.5pt;width:6.8pt;height:11.55pt;z-index:251663360;mso-position-horizontal-relative:page" filled="f" stroked="f">
            <v:textbox style="layout-flow:vertical-ideographic" inset="0,0,0,0">
              <w:txbxContent>
                <w:p w:rsidR="00CF232A" w:rsidRDefault="00CF232A" w:rsidP="00CF232A">
                  <w:pPr>
                    <w:spacing w:line="120" w:lineRule="auto"/>
                    <w:ind w:left="20"/>
                    <w:rPr>
                      <w:sz w:val="19"/>
                    </w:rPr>
                  </w:pPr>
                  <w:r>
                    <w:rPr>
                      <w:color w:val="34383A"/>
                      <w:sz w:val="19"/>
                    </w:rPr>
                    <w:t>4</w:t>
                  </w:r>
                </w:p>
              </w:txbxContent>
            </v:textbox>
            <w10:wrap anchorx="page"/>
          </v:shape>
        </w:pict>
      </w:r>
      <w:r w:rsidR="00CF232A" w:rsidRPr="00CF232A">
        <w:rPr>
          <w:rFonts w:ascii="仿宋" w:eastAsia="仿宋" w:hAnsi="仿宋"/>
          <w:color w:val="0F0F0F"/>
          <w:spacing w:val="1"/>
          <w:w w:val="95"/>
          <w:sz w:val="30"/>
          <w:szCs w:val="30"/>
          <w:lang w:eastAsia="zh-CN"/>
        </w:rPr>
        <w:t>四是利用亲情诱骗。有些非法集资参与人，为了完成或增加自己的业绩，有时采取类传销的手法，不惜利用亲情、地缘关系，编造自己获得高额回报的谎言，拉拢亲朋、同学或邻居加入，使参与人员迅速蔓延，集资规模不断扩大。</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sectPr w:rsidR="00CF232A" w:rsidRPr="00CF232A" w:rsidSect="00A83FC0">
          <w:pgSz w:w="11910" w:h="16850"/>
          <w:pgMar w:top="1440" w:right="1701" w:bottom="1440" w:left="1701" w:header="720" w:footer="720" w:gutter="0"/>
          <w:cols w:space="720"/>
        </w:sectPr>
      </w:pP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lastRenderedPageBreak/>
        <w:t>（三）典型非法集资活动“四部曲”</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笫一步：画饼。非法集资人会编织一个或多个尽可能“</w:t>
      </w:r>
      <w:r w:rsidR="00E40675">
        <w:rPr>
          <w:rFonts w:ascii="仿宋" w:eastAsia="仿宋" w:hAnsi="仿宋"/>
          <w:color w:val="0F0F0F"/>
          <w:spacing w:val="1"/>
          <w:w w:val="95"/>
          <w:sz w:val="30"/>
          <w:szCs w:val="30"/>
          <w:lang w:eastAsia="zh-CN"/>
        </w:rPr>
        <w:t>高大上</w:t>
      </w:r>
      <w:r w:rsidR="00E40675">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的项目。以“新技术”、“新革命”、“新政策</w:t>
      </w:r>
      <w:r w:rsidR="00A83FC0">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、“区块链</w:t>
      </w:r>
      <w:r w:rsidR="00A83FC0">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、“虚拟货币”等为幌子，描绘一幅预期报酬丰厚的蓝图，把集资参与人的胃口“吊</w:t>
      </w:r>
      <w:r w:rsidR="00A83FC0">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起来，让其产生“不容错过</w:t>
      </w:r>
      <w:r w:rsidR="00A83FC0">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“机不可失”的错觉。非法集资人一般会把“饼</w:t>
      </w:r>
      <w:r w:rsidR="00A83FC0">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画大，尽可能吸引参与人眼球。</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第二步：造势。利用一切资源把声势做大。非法集资人通常会举办各种造势活动，比如新闻发布会、产品推介会、现场观摩会、体验日活动、知识讲座等；组织集体旅游、考察等，赠送米面油、话费等小礼品；大量展示各种或真或假的</w:t>
      </w:r>
      <w:r w:rsidR="00E40675">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技术认证”“获奖证书”“政府批文”；公布一些领导视察影视资料，公司领导与政府官员、明星合影；故意把活动选在政府会议中心、礼堂进行，其场面之大、规格之高极具欺骗性。</w:t>
      </w:r>
    </w:p>
    <w:p w:rsidR="00CF232A" w:rsidRP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第三步：吸金。想方设法套取你口袋里的钱。非法集资人通过返点、分红，给参与人初尝“甜头”</w:t>
      </w:r>
      <w:r w:rsidR="00E40675">
        <w:rPr>
          <w:rFonts w:ascii="仿宋" w:eastAsia="仿宋" w:hAnsi="仿宋"/>
          <w:color w:val="0F0F0F"/>
          <w:spacing w:val="1"/>
          <w:w w:val="95"/>
          <w:sz w:val="30"/>
          <w:szCs w:val="30"/>
          <w:lang w:eastAsia="zh-CN"/>
        </w:rPr>
        <w:t>，使其相信把钱放在他那儿不仅有可观的收入，而且比放在自己</w:t>
      </w:r>
      <w:r w:rsidRPr="00CF232A">
        <w:rPr>
          <w:rFonts w:ascii="仿宋" w:eastAsia="仿宋" w:hAnsi="仿宋"/>
          <w:color w:val="0F0F0F"/>
          <w:spacing w:val="1"/>
          <w:w w:val="95"/>
          <w:sz w:val="30"/>
          <w:szCs w:val="30"/>
          <w:lang w:eastAsia="zh-CN"/>
        </w:rPr>
        <w:t>口袋里还安全，参与人不仅将自己的钱倾囊而出，还动员亲友加入，集资金额越滚越大。</w:t>
      </w:r>
    </w:p>
    <w:p w:rsidR="00CF232A" w:rsidRDefault="00CF232A"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笫四步：跑路。非法集资人往往会在“吸金”一段时间后跑路，或者因为原本就是“庞氏骗局</w:t>
      </w:r>
      <w:r w:rsidR="00A83FC0">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人去楼空，或者因为经营不善致使资金链断裂。集资参与人遭受惨重经济损失，甚至血本无归。</w:t>
      </w:r>
    </w:p>
    <w:p w:rsidR="00A83FC0" w:rsidRPr="00CF232A" w:rsidRDefault="00A20B70" w:rsidP="00B63AD8">
      <w:pPr>
        <w:spacing w:line="560" w:lineRule="exact"/>
        <w:ind w:leftChars="-1" w:left="-2" w:right="-54" w:firstLineChars="199" w:firstLine="564"/>
        <w:rPr>
          <w:rFonts w:ascii="仿宋" w:eastAsia="仿宋" w:hAnsi="仿宋"/>
          <w:color w:val="0F0F0F"/>
          <w:spacing w:val="1"/>
          <w:w w:val="95"/>
          <w:sz w:val="30"/>
          <w:szCs w:val="30"/>
          <w:lang w:eastAsia="zh-CN"/>
        </w:rPr>
      </w:pPr>
      <w:r w:rsidRPr="00A20B70">
        <w:rPr>
          <w:rFonts w:ascii="仿宋" w:eastAsia="仿宋" w:hAnsi="仿宋"/>
          <w:color w:val="0F0F0F"/>
          <w:spacing w:val="1"/>
          <w:w w:val="95"/>
          <w:sz w:val="30"/>
          <w:szCs w:val="30"/>
          <w:lang w:eastAsia="zh-CN"/>
        </w:rPr>
        <w:pict>
          <v:shape id="_x0000_s2064" type="#_x0000_t202" style="position:absolute;left:0;text-align:left;margin-left:6.6pt;margin-top:56.55pt;width:20.55pt;height:20.55pt;z-index:251676672;mso-position-horizontal-relative:page;mso-position-vertical-relative:page" filled="f" stroked="f">
            <v:textbox style="layout-flow:vertical-ideographic" inset="0,0,0,0">
              <w:txbxContent>
                <w:p w:rsidR="00A83FC0" w:rsidRDefault="00A83FC0" w:rsidP="00A83FC0">
                  <w:pPr>
                    <w:spacing w:line="156" w:lineRule="auto"/>
                    <w:ind w:left="20"/>
                    <w:rPr>
                      <w:sz w:val="37"/>
                    </w:rPr>
                  </w:pPr>
                  <w:r>
                    <w:rPr>
                      <w:color w:val="CDCDCD"/>
                      <w:sz w:val="37"/>
                    </w:rPr>
                    <w:t>．</w:t>
                  </w:r>
                </w:p>
              </w:txbxContent>
            </v:textbox>
            <w10:wrap anchorx="page" anchory="page"/>
          </v:shape>
        </w:pict>
      </w:r>
      <w:r w:rsidRPr="00A20B70">
        <w:rPr>
          <w:rFonts w:ascii="仿宋" w:eastAsia="仿宋" w:hAnsi="仿宋"/>
          <w:color w:val="0F0F0F"/>
          <w:spacing w:val="1"/>
          <w:w w:val="95"/>
          <w:sz w:val="30"/>
          <w:szCs w:val="30"/>
          <w:lang w:eastAsia="zh-CN"/>
        </w:rPr>
        <w:pict>
          <v:shape id="_x0000_s2065" type="#_x0000_t202" style="position:absolute;left:0;text-align:left;margin-left:3.75pt;margin-top:53.85pt;width:4.05pt;height:6.05pt;z-index:251677696;mso-position-horizontal-relative:page;mso-position-vertical-relative:page" filled="f" stroked="f">
            <v:textbox style="layout-flow:vertical-ideographic" inset="0,0,0,0">
              <w:txbxContent>
                <w:p w:rsidR="00A83FC0" w:rsidRDefault="00A83FC0" w:rsidP="00A83FC0">
                  <w:pPr>
                    <w:spacing w:line="144" w:lineRule="auto"/>
                    <w:ind w:left="20"/>
                    <w:rPr>
                      <w:sz w:val="8"/>
                    </w:rPr>
                  </w:pPr>
                  <w:r>
                    <w:rPr>
                      <w:color w:val="CDCDCD"/>
                      <w:w w:val="99"/>
                      <w:sz w:val="8"/>
                    </w:rPr>
                    <w:t>,</w:t>
                  </w:r>
                </w:p>
              </w:txbxContent>
            </v:textbox>
            <w10:wrap anchorx="page" anchory="page"/>
          </v:shape>
        </w:pict>
      </w:r>
      <w:r w:rsidRPr="00A20B70">
        <w:rPr>
          <w:rFonts w:ascii="仿宋" w:eastAsia="仿宋" w:hAnsi="仿宋"/>
          <w:color w:val="0F0F0F"/>
          <w:spacing w:val="1"/>
          <w:w w:val="95"/>
          <w:sz w:val="30"/>
          <w:szCs w:val="30"/>
          <w:lang w:eastAsia="zh-CN"/>
        </w:rPr>
        <w:pict>
          <v:shape id="_x0000_s2066" type="#_x0000_t202" style="position:absolute;left:0;text-align:left;margin-left:2.25pt;margin-top:63.4pt;width:6.05pt;height:6.05pt;z-index:251678720;mso-position-horizontal-relative:page;mso-position-vertical-relative:page" filled="f" stroked="f">
            <v:textbox style="layout-flow:vertical-ideographic" inset="0,0,0,0">
              <w:txbxContent>
                <w:p w:rsidR="00A83FC0" w:rsidRDefault="00A83FC0" w:rsidP="00A83FC0">
                  <w:pPr>
                    <w:spacing w:line="192" w:lineRule="auto"/>
                    <w:ind w:left="20"/>
                    <w:rPr>
                      <w:sz w:val="8"/>
                    </w:rPr>
                  </w:pPr>
                  <w:r>
                    <w:rPr>
                      <w:color w:val="CDCDCD"/>
                      <w:w w:val="99"/>
                      <w:sz w:val="8"/>
                    </w:rPr>
                    <w:t>·</w:t>
                  </w:r>
                </w:p>
              </w:txbxContent>
            </v:textbox>
            <w10:wrap anchorx="page" anchory="page"/>
          </v:shape>
        </w:pict>
      </w:r>
      <w:r w:rsidR="00A83FC0" w:rsidRPr="00CF232A">
        <w:rPr>
          <w:rFonts w:ascii="仿宋" w:eastAsia="仿宋" w:hAnsi="仿宋"/>
          <w:color w:val="0F0F0F"/>
          <w:spacing w:val="1"/>
          <w:w w:val="95"/>
          <w:sz w:val="30"/>
          <w:szCs w:val="30"/>
          <w:lang w:eastAsia="zh-CN"/>
        </w:rPr>
        <w:t>（四）非法集资常见套路</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非法集资违法犯罪分子为了引诱群众达到非法集资目的，通常采取以下手段骗取群众信任。</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装点公司门面，营造实力假象。不法分子往往成立公司，办理工</w:t>
      </w:r>
      <w:r w:rsidRPr="00CF232A">
        <w:rPr>
          <w:rFonts w:ascii="仿宋" w:eastAsia="仿宋" w:hAnsi="仿宋"/>
          <w:color w:val="0F0F0F"/>
          <w:spacing w:val="1"/>
          <w:w w:val="95"/>
          <w:sz w:val="30"/>
          <w:szCs w:val="30"/>
          <w:lang w:eastAsia="zh-CN"/>
        </w:rPr>
        <w:lastRenderedPageBreak/>
        <w:t>商执照、税务登记等手续，貌似合法，实则没有金融资质。这些公司或办公地点高档豪华，或宣传国资背景，或投入重金通过各类媒体甚至央视进行包装宣传，或在高档场所（如人民大会堂）举行推介会、知识讲座，邀请名人、学者和官员站台造势，展示与领导合影及各种奖项，欺骗性更强。</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编造投资项目，打消群众疑虑。从过去的农林矿业开发、民间借贷、房地产销售、原始股发行、加盟经营等形式逐渐升级包装为投资理财、财富管理、金融互助理财、海外上市、私募股权等形形色色的理财项目，并且承诺有担保、可回购、低风险、高回报等。</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混淆投资概念，加大识别难度。不法分子把在地方股权交易中心挂牌吹成上市，把在美国OTCBB市场挂牌混淆是在纳斯达克上市；有的利用电子黄金、投资基金、网络炒汇等新的名词迷惑群众，假称新投资工具或金融产品；有的利用专卖、代理、加盟连锁、消费增值返利、电子商务等新的经营方式，欺骗群众投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承诺高额回报，编造“致富</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神话。高利引诱，是所有诈骗犯罪分子欺骗群众的不二法门。不法分子一开始按时足额兑现先期投入者的本息，然后是拆东墙补西墙，用后来</w:t>
      </w:r>
      <w:r>
        <w:rPr>
          <w:rFonts w:ascii="仿宋" w:eastAsia="仿宋" w:hAnsi="仿宋"/>
          <w:color w:val="0F0F0F"/>
          <w:spacing w:val="1"/>
          <w:w w:val="95"/>
          <w:sz w:val="30"/>
          <w:szCs w:val="30"/>
          <w:lang w:eastAsia="zh-CN"/>
        </w:rPr>
        <w:t>新</w:t>
      </w:r>
      <w:r w:rsidRPr="00CF232A">
        <w:rPr>
          <w:rFonts w:ascii="仿宋" w:eastAsia="仿宋" w:hAnsi="仿宋"/>
          <w:color w:val="0F0F0F"/>
          <w:spacing w:val="1"/>
          <w:w w:val="95"/>
          <w:sz w:val="30"/>
          <w:szCs w:val="30"/>
          <w:lang w:eastAsia="zh-CN"/>
        </w:rPr>
        <w:t>人的钱兑现先前的本息，等达到一定规模后，便秘密转移资金，携款潜逃。</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（五）风险防范提示</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(1)如遇以下情形向公众集资的，务必提高警惕</w:t>
      </w:r>
      <w:r w:rsidR="0026781A">
        <w:rPr>
          <w:rFonts w:ascii="仿宋" w:eastAsia="仿宋" w:hAnsi="仿宋" w:hint="eastAsia"/>
          <w:color w:val="0F0F0F"/>
          <w:spacing w:val="1"/>
          <w:w w:val="95"/>
          <w:sz w:val="30"/>
          <w:szCs w:val="30"/>
          <w:lang w:eastAsia="zh-CN"/>
        </w:rPr>
        <w:t>。</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A、以“看广告、赚外快”“消费返利”为幌子的；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B、以境外投资股权、期权、外汇、贵金属等为幌子的；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C、以投资养老产业可获高额回报或“免费</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养老、“以房</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养老等为幌子的；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lastRenderedPageBreak/>
        <w:t>D、以私募入股、合伙办企业为幌子，但不办理企业工商注册登记的；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E、以投资虚拟货币、</w:t>
      </w:r>
      <w:r w:rsidRPr="00CF232A">
        <w:rPr>
          <w:rFonts w:ascii="仿宋" w:eastAsia="仿宋" w:hAnsi="仿宋"/>
          <w:color w:val="0F0F0F"/>
          <w:spacing w:val="1"/>
          <w:w w:val="95"/>
          <w:sz w:val="30"/>
          <w:szCs w:val="30"/>
          <w:lang w:eastAsia="zh-CN"/>
        </w:rPr>
        <w:tab/>
        <w:t>区块链等为幌子的；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F、以“扶贫”“互助”“慈善</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“影视文化”等为幌子的；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G、在街头、商场、超市等发放投资理财等内容广告传单的；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Pr>
          <w:rFonts w:ascii="仿宋" w:eastAsia="仿宋" w:hAnsi="仿宋" w:hint="eastAsia"/>
          <w:color w:val="0F0F0F"/>
          <w:spacing w:val="1"/>
          <w:w w:val="95"/>
          <w:sz w:val="30"/>
          <w:szCs w:val="30"/>
          <w:lang w:eastAsia="zh-CN"/>
        </w:rPr>
        <w:t>H</w:t>
      </w:r>
      <w:r w:rsidRPr="00CF232A">
        <w:rPr>
          <w:rFonts w:ascii="仿宋" w:eastAsia="仿宋" w:hAnsi="仿宋"/>
          <w:color w:val="0F0F0F"/>
          <w:spacing w:val="1"/>
          <w:w w:val="95"/>
          <w:sz w:val="30"/>
          <w:szCs w:val="30"/>
          <w:lang w:eastAsia="zh-CN"/>
        </w:rPr>
        <w:t>、以组织考察、旅游、讲座等方式招揽老年群众的；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I、“投资、理财</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公司、网站及服务器在境外的；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J、要求以现金方式或向个人账户、境外账户缴纳投资款的。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(2)防范非法集资的“四看三思等一</w:t>
      </w:r>
      <w:r>
        <w:rPr>
          <w:rFonts w:ascii="仿宋" w:eastAsia="仿宋" w:hAnsi="仿宋"/>
          <w:color w:val="0F0F0F"/>
          <w:spacing w:val="1"/>
          <w:w w:val="95"/>
          <w:sz w:val="30"/>
          <w:szCs w:val="30"/>
          <w:lang w:eastAsia="zh-CN"/>
        </w:rPr>
        <w:t>夜</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法</w:t>
      </w:r>
      <w:r w:rsidR="0026781A">
        <w:rPr>
          <w:rFonts w:ascii="仿宋" w:eastAsia="仿宋" w:hAnsi="仿宋" w:hint="eastAsia"/>
          <w:color w:val="0F0F0F"/>
          <w:spacing w:val="1"/>
          <w:w w:val="95"/>
          <w:sz w:val="30"/>
          <w:szCs w:val="30"/>
          <w:lang w:eastAsia="zh-CN"/>
        </w:rPr>
        <w:t>。</w:t>
      </w:r>
    </w:p>
    <w:p w:rsidR="00A83FC0" w:rsidRPr="00CF232A" w:rsidRDefault="00A20B70" w:rsidP="00B63AD8">
      <w:pPr>
        <w:spacing w:line="560" w:lineRule="exact"/>
        <w:ind w:leftChars="-1" w:left="-2" w:right="-54" w:firstLineChars="199" w:firstLine="564"/>
        <w:rPr>
          <w:rFonts w:ascii="仿宋" w:eastAsia="仿宋" w:hAnsi="仿宋"/>
          <w:color w:val="0F0F0F"/>
          <w:spacing w:val="1"/>
          <w:w w:val="95"/>
          <w:sz w:val="30"/>
          <w:szCs w:val="30"/>
          <w:lang w:eastAsia="zh-CN"/>
        </w:rPr>
      </w:pPr>
      <w:r w:rsidRPr="00A20B70">
        <w:rPr>
          <w:rFonts w:ascii="仿宋" w:eastAsia="仿宋" w:hAnsi="仿宋"/>
          <w:color w:val="0F0F0F"/>
          <w:spacing w:val="1"/>
          <w:w w:val="95"/>
          <w:sz w:val="30"/>
          <w:szCs w:val="30"/>
          <w:lang w:eastAsia="zh-CN"/>
        </w:rPr>
        <w:pict>
          <v:shape id="_x0000_s2067" type="#_x0000_t202" style="position:absolute;left:0;text-align:left;margin-left:331.5pt;margin-top:175.15pt;width:6.8pt;height:11.55pt;z-index:251679744;mso-position-horizontal-relative:page" filled="f" stroked="f">
            <v:textbox style="layout-flow:vertical-ideographic" inset="0,0,0,0">
              <w:txbxContent>
                <w:p w:rsidR="00A83FC0" w:rsidRDefault="00A83FC0" w:rsidP="00A83FC0">
                  <w:pPr>
                    <w:spacing w:line="120" w:lineRule="auto"/>
                    <w:ind w:left="20"/>
                    <w:rPr>
                      <w:sz w:val="19"/>
                    </w:rPr>
                  </w:pPr>
                  <w:r>
                    <w:rPr>
                      <w:color w:val="484B4D"/>
                      <w:sz w:val="19"/>
                    </w:rPr>
                    <w:t>7</w:t>
                  </w:r>
                </w:p>
              </w:txbxContent>
            </v:textbox>
            <w10:wrap anchorx="page"/>
          </v:shape>
        </w:pict>
      </w:r>
      <w:r w:rsidR="00A83FC0" w:rsidRPr="00CF232A">
        <w:rPr>
          <w:rFonts w:ascii="仿宋" w:eastAsia="仿宋" w:hAnsi="仿宋"/>
          <w:color w:val="0F0F0F"/>
          <w:spacing w:val="1"/>
          <w:w w:val="95"/>
          <w:sz w:val="30"/>
          <w:szCs w:val="30"/>
          <w:lang w:eastAsia="zh-CN"/>
        </w:rPr>
        <w:t>四看。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式等。四看参与集资主体，是不是主要面向老年人等特定群体。</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三思。一思自己是否真正了解该产品及市场行情。二思产品是否符合市场规律。三思自身经济实力是否具备抗风险能力。</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等一夜。遇到相关投资集资类宣传，一定要避免头脑发热，先征求家人和朋友的意见，拖延一晚再决定。不要盲目相信造势宣传、熟人介绍、专家推荐，不要被高利诱惑盲目投资。</w:t>
      </w:r>
    </w:p>
    <w:p w:rsidR="0026781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(3)规避非法集资陷阱的“三要、三不要</w:t>
      </w:r>
      <w:r>
        <w:rPr>
          <w:rFonts w:ascii="仿宋" w:eastAsia="仿宋" w:hAnsi="仿宋" w:hint="eastAsia"/>
          <w:color w:val="0F0F0F"/>
          <w:spacing w:val="1"/>
          <w:w w:val="95"/>
          <w:sz w:val="30"/>
          <w:szCs w:val="30"/>
          <w:lang w:eastAsia="zh-CN"/>
        </w:rPr>
        <w:t>”</w:t>
      </w:r>
      <w:r w:rsidR="0026781A">
        <w:rPr>
          <w:rFonts w:ascii="仿宋" w:eastAsia="仿宋" w:hAnsi="仿宋" w:hint="eastAsia"/>
          <w:color w:val="0F0F0F"/>
          <w:spacing w:val="1"/>
          <w:w w:val="95"/>
          <w:sz w:val="30"/>
          <w:szCs w:val="30"/>
          <w:lang w:eastAsia="zh-CN"/>
        </w:rPr>
        <w:t>。</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一要理性，不要侥幸。天上不会掉馅饼，掉下来的不是</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圈套”就是</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陷阱</w:t>
      </w:r>
      <w:r>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。要坚守理性底线，想想自己懂不懂，比比风险大不大，看看收益水平合不合实际，问问家人朋友怎么看，不要被赌博心态和</w:t>
      </w:r>
      <w:r w:rsidRPr="00CF232A">
        <w:rPr>
          <w:rFonts w:ascii="仿宋" w:eastAsia="仿宋" w:hAnsi="仿宋"/>
          <w:color w:val="0F0F0F"/>
          <w:spacing w:val="1"/>
          <w:w w:val="95"/>
          <w:sz w:val="30"/>
          <w:szCs w:val="30"/>
          <w:lang w:eastAsia="zh-CN"/>
        </w:rPr>
        <w:lastRenderedPageBreak/>
        <w:t>侥幸心理蒙蔽双眼！</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二要稳健，不要冒险。高收益意味着高风险，还可能是投资骗局，投一次就血本无归！要合理评估自身承受能力，审慎确定风险承担意愿，不冒险投资！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三要警惕，不要盲目。“收益丰厚、条件诱人、机会难得、名额有限”都很可能是忽悠，一定要警惕、警惕、再警惕！多留个心眼儿，绝不要听风就是雨，盲目“随大流”投资！</w:t>
      </w:r>
    </w:p>
    <w:p w:rsidR="00A83FC0"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(4)谨慎投资，严防非法集资陷阱</w:t>
      </w:r>
    </w:p>
    <w:p w:rsidR="00FF3DA5" w:rsidRPr="00CF232A" w:rsidRDefault="00A83FC0" w:rsidP="00B63AD8">
      <w:pPr>
        <w:spacing w:line="560" w:lineRule="exact"/>
        <w:ind w:leftChars="-1" w:left="-2" w:right="-54" w:firstLineChars="199" w:firstLine="568"/>
        <w:rPr>
          <w:rFonts w:ascii="仿宋" w:eastAsia="仿宋" w:hAnsi="仿宋"/>
          <w:color w:val="0F0F0F"/>
          <w:spacing w:val="1"/>
          <w:w w:val="95"/>
          <w:sz w:val="30"/>
          <w:szCs w:val="30"/>
          <w:lang w:eastAsia="zh-CN"/>
        </w:rPr>
      </w:pPr>
      <w:r w:rsidRPr="00CF232A">
        <w:rPr>
          <w:rFonts w:ascii="仿宋" w:eastAsia="仿宋" w:hAnsi="仿宋"/>
          <w:color w:val="0F0F0F"/>
          <w:spacing w:val="1"/>
          <w:w w:val="95"/>
          <w:sz w:val="30"/>
          <w:szCs w:val="30"/>
          <w:lang w:eastAsia="zh-CN"/>
        </w:rPr>
        <w:t>一是不要轻易相信所谓的高息“保险＂、高息”理财</w:t>
      </w:r>
      <w:r w:rsidR="0026781A">
        <w:rPr>
          <w:rFonts w:ascii="仿宋" w:eastAsia="仿宋" w:hAnsi="仿宋" w:hint="eastAsia"/>
          <w:color w:val="0F0F0F"/>
          <w:spacing w:val="1"/>
          <w:w w:val="95"/>
          <w:sz w:val="30"/>
          <w:szCs w:val="30"/>
          <w:lang w:eastAsia="zh-CN"/>
        </w:rPr>
        <w:t>……</w:t>
      </w:r>
      <w:r w:rsidRPr="00CF232A">
        <w:rPr>
          <w:rFonts w:ascii="仿宋" w:eastAsia="仿宋" w:hAnsi="仿宋"/>
          <w:color w:val="0F0F0F"/>
          <w:spacing w:val="1"/>
          <w:w w:val="95"/>
          <w:sz w:val="30"/>
          <w:szCs w:val="30"/>
          <w:lang w:eastAsia="zh-CN"/>
        </w:rPr>
        <w:t>高收益意味着高风险；二是不被小礼品打动，不接收“先返息”之类的诱饵，记住天上不会掉馅饼。三是要通过正规渠道购买金融产品。</w:t>
      </w:r>
      <w:r w:rsidRPr="00CF232A">
        <w:rPr>
          <w:rFonts w:ascii="仿宋" w:eastAsia="仿宋" w:hAnsi="仿宋"/>
          <w:color w:val="0F0F0F"/>
          <w:spacing w:val="1"/>
          <w:w w:val="95"/>
          <w:sz w:val="30"/>
          <w:szCs w:val="30"/>
          <w:lang w:eastAsia="zh-CN"/>
        </w:rPr>
        <w:tab/>
        <w:t>不与银行、保险从业人员个人签订投资理财协议，不接收从业人员个人出具的任何收据、欠条。四是注意保护个人信息，关注政府部门发布的非法集资风险提示，遇到涉嫌非法集资行为及时举报投诉。</w:t>
      </w:r>
    </w:p>
    <w:sectPr w:rsidR="00FF3DA5" w:rsidRPr="00CF232A" w:rsidSect="00A83FC0">
      <w:pgSz w:w="11910" w:h="16850"/>
      <w:pgMar w:top="1440" w:right="1701"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DD" w:rsidRDefault="00E519DD" w:rsidP="00CF232A">
      <w:r>
        <w:separator/>
      </w:r>
    </w:p>
  </w:endnote>
  <w:endnote w:type="continuationSeparator" w:id="1">
    <w:p w:rsidR="00E519DD" w:rsidRDefault="00E519DD" w:rsidP="00CF2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DD" w:rsidRDefault="00E519DD" w:rsidP="00CF232A">
      <w:r>
        <w:separator/>
      </w:r>
    </w:p>
  </w:footnote>
  <w:footnote w:type="continuationSeparator" w:id="1">
    <w:p w:rsidR="00E519DD" w:rsidRDefault="00E519DD" w:rsidP="00CF2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C5082"/>
    <w:multiLevelType w:val="hybridMultilevel"/>
    <w:tmpl w:val="F2320AF2"/>
    <w:lvl w:ilvl="0" w:tplc="510E1D88">
      <w:start w:val="1"/>
      <w:numFmt w:val="decimal"/>
      <w:lvlText w:val="%1."/>
      <w:lvlJc w:val="left"/>
      <w:pPr>
        <w:ind w:left="842" w:hanging="310"/>
        <w:jc w:val="right"/>
      </w:pPr>
      <w:rPr>
        <w:rFonts w:hint="default"/>
        <w:w w:val="103"/>
      </w:rPr>
    </w:lvl>
    <w:lvl w:ilvl="1" w:tplc="51AA7B3E">
      <w:start w:val="2"/>
      <w:numFmt w:val="decimal"/>
      <w:lvlText w:val="%2."/>
      <w:lvlJc w:val="left"/>
      <w:pPr>
        <w:ind w:left="1383" w:hanging="200"/>
        <w:jc w:val="left"/>
      </w:pPr>
      <w:rPr>
        <w:rFonts w:ascii="Times New Roman" w:eastAsia="Times New Roman" w:hAnsi="Times New Roman" w:cs="Times New Roman" w:hint="default"/>
        <w:color w:val="575B5D"/>
        <w:spacing w:val="-7"/>
        <w:w w:val="92"/>
        <w:sz w:val="21"/>
        <w:szCs w:val="21"/>
      </w:rPr>
    </w:lvl>
    <w:lvl w:ilvl="2" w:tplc="9198F9AE">
      <w:start w:val="1"/>
      <w:numFmt w:val="decimal"/>
      <w:lvlText w:val="%3."/>
      <w:lvlJc w:val="left"/>
      <w:pPr>
        <w:ind w:left="1864" w:hanging="335"/>
        <w:jc w:val="right"/>
      </w:pPr>
      <w:rPr>
        <w:rFonts w:hint="default"/>
        <w:w w:val="98"/>
      </w:rPr>
    </w:lvl>
    <w:lvl w:ilvl="3" w:tplc="2598A82A">
      <w:start w:val="1"/>
      <w:numFmt w:val="decimal"/>
      <w:lvlText w:val="%4."/>
      <w:lvlJc w:val="left"/>
      <w:pPr>
        <w:ind w:left="2242" w:hanging="322"/>
        <w:jc w:val="right"/>
      </w:pPr>
      <w:rPr>
        <w:rFonts w:hint="default"/>
        <w:w w:val="109"/>
      </w:rPr>
    </w:lvl>
    <w:lvl w:ilvl="4" w:tplc="CEB0E1B4">
      <w:start w:val="1"/>
      <w:numFmt w:val="decimal"/>
      <w:lvlText w:val="%5."/>
      <w:lvlJc w:val="left"/>
      <w:pPr>
        <w:ind w:left="2170" w:hanging="312"/>
        <w:jc w:val="right"/>
      </w:pPr>
      <w:rPr>
        <w:rFonts w:hint="default"/>
        <w:w w:val="101"/>
      </w:rPr>
    </w:lvl>
    <w:lvl w:ilvl="5" w:tplc="7B107FDC">
      <w:numFmt w:val="bullet"/>
      <w:lvlText w:val="•"/>
      <w:lvlJc w:val="left"/>
      <w:pPr>
        <w:ind w:left="3531" w:hanging="312"/>
      </w:pPr>
      <w:rPr>
        <w:rFonts w:hint="default"/>
      </w:rPr>
    </w:lvl>
    <w:lvl w:ilvl="6" w:tplc="92E855BC">
      <w:numFmt w:val="bullet"/>
      <w:lvlText w:val="•"/>
      <w:lvlJc w:val="left"/>
      <w:pPr>
        <w:ind w:left="4822" w:hanging="312"/>
      </w:pPr>
      <w:rPr>
        <w:rFonts w:hint="default"/>
      </w:rPr>
    </w:lvl>
    <w:lvl w:ilvl="7" w:tplc="96F6C6B0">
      <w:numFmt w:val="bullet"/>
      <w:lvlText w:val="•"/>
      <w:lvlJc w:val="left"/>
      <w:pPr>
        <w:ind w:left="6114" w:hanging="312"/>
      </w:pPr>
      <w:rPr>
        <w:rFonts w:hint="default"/>
      </w:rPr>
    </w:lvl>
    <w:lvl w:ilvl="8" w:tplc="FA88006C">
      <w:numFmt w:val="bullet"/>
      <w:lvlText w:val="•"/>
      <w:lvlJc w:val="left"/>
      <w:pPr>
        <w:ind w:left="7405" w:hanging="3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32A"/>
    <w:rsid w:val="0026781A"/>
    <w:rsid w:val="00820DF8"/>
    <w:rsid w:val="00A20B70"/>
    <w:rsid w:val="00A83FC0"/>
    <w:rsid w:val="00B63AD8"/>
    <w:rsid w:val="00CF232A"/>
    <w:rsid w:val="00E40675"/>
    <w:rsid w:val="00E519DD"/>
    <w:rsid w:val="00E973F8"/>
    <w:rsid w:val="00FF3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F232A"/>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32A"/>
    <w:rPr>
      <w:sz w:val="18"/>
      <w:szCs w:val="18"/>
    </w:rPr>
  </w:style>
  <w:style w:type="paragraph" w:styleId="a4">
    <w:name w:val="footer"/>
    <w:basedOn w:val="a"/>
    <w:link w:val="Char0"/>
    <w:uiPriority w:val="99"/>
    <w:semiHidden/>
    <w:unhideWhenUsed/>
    <w:rsid w:val="00CF232A"/>
    <w:pPr>
      <w:tabs>
        <w:tab w:val="center" w:pos="4153"/>
        <w:tab w:val="right" w:pos="8306"/>
      </w:tabs>
      <w:snapToGrid w:val="0"/>
    </w:pPr>
    <w:rPr>
      <w:sz w:val="18"/>
      <w:szCs w:val="18"/>
    </w:rPr>
  </w:style>
  <w:style w:type="character" w:customStyle="1" w:styleId="Char0">
    <w:name w:val="页脚 Char"/>
    <w:basedOn w:val="a0"/>
    <w:link w:val="a4"/>
    <w:uiPriority w:val="99"/>
    <w:semiHidden/>
    <w:rsid w:val="00CF232A"/>
    <w:rPr>
      <w:sz w:val="18"/>
      <w:szCs w:val="18"/>
    </w:rPr>
  </w:style>
  <w:style w:type="paragraph" w:styleId="a5">
    <w:name w:val="Body Text"/>
    <w:basedOn w:val="a"/>
    <w:link w:val="Char1"/>
    <w:uiPriority w:val="1"/>
    <w:qFormat/>
    <w:rsid w:val="00CF232A"/>
    <w:rPr>
      <w:sz w:val="32"/>
      <w:szCs w:val="32"/>
    </w:rPr>
  </w:style>
  <w:style w:type="character" w:customStyle="1" w:styleId="Char1">
    <w:name w:val="正文文本 Char"/>
    <w:basedOn w:val="a0"/>
    <w:link w:val="a5"/>
    <w:uiPriority w:val="1"/>
    <w:rsid w:val="00CF232A"/>
    <w:rPr>
      <w:rFonts w:ascii="宋体" w:eastAsia="宋体" w:hAnsi="宋体" w:cs="宋体"/>
      <w:kern w:val="0"/>
      <w:sz w:val="32"/>
      <w:szCs w:val="32"/>
      <w:lang w:eastAsia="en-US"/>
    </w:rPr>
  </w:style>
  <w:style w:type="paragraph" w:customStyle="1" w:styleId="Heading2">
    <w:name w:val="Heading 2"/>
    <w:basedOn w:val="a"/>
    <w:uiPriority w:val="1"/>
    <w:qFormat/>
    <w:rsid w:val="00CF232A"/>
    <w:pPr>
      <w:ind w:left="1091"/>
      <w:outlineLvl w:val="2"/>
    </w:pPr>
    <w:rPr>
      <w:sz w:val="42"/>
      <w:szCs w:val="42"/>
    </w:rPr>
  </w:style>
  <w:style w:type="paragraph" w:styleId="a6">
    <w:name w:val="List Paragraph"/>
    <w:basedOn w:val="a"/>
    <w:uiPriority w:val="1"/>
    <w:qFormat/>
    <w:rsid w:val="00CF232A"/>
    <w:pPr>
      <w:ind w:left="2170" w:firstLine="74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15BA-70A5-4225-B4AA-A0D63AC9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2021-07-04T08:21:00Z</dcterms:created>
  <dcterms:modified xsi:type="dcterms:W3CDTF">2021-07-04T09:30:00Z</dcterms:modified>
</cp:coreProperties>
</file>